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5D1E2A7F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1437F4">
        <w:rPr>
          <w:lang w:val="en-US"/>
        </w:rPr>
        <w:t>6</w:t>
      </w:r>
      <w:r w:rsidRPr="00DE3FC8">
        <w:rPr>
          <w:lang w:val="en-US"/>
        </w:rPr>
        <w:tab/>
      </w:r>
      <w:r w:rsidR="002A1029" w:rsidRPr="002A1029">
        <w:rPr>
          <w:sz w:val="32"/>
          <w:szCs w:val="32"/>
          <w:lang w:val="en-US"/>
        </w:rPr>
        <w:t>R2-2404842</w:t>
      </w:r>
    </w:p>
    <w:p w14:paraId="5104E0A7" w14:textId="1DCC1B4F" w:rsidR="006255E7" w:rsidRDefault="001437F4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6255E7">
        <w:rPr>
          <w:b/>
          <w:noProof/>
          <w:sz w:val="24"/>
        </w:rPr>
        <w:t xml:space="preserve">, </w:t>
      </w:r>
      <w:r w:rsidR="0016254D">
        <w:rPr>
          <w:b/>
          <w:noProof/>
          <w:sz w:val="24"/>
        </w:rPr>
        <w:t>20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– </w:t>
      </w:r>
      <w:r w:rsidR="0016254D">
        <w:rPr>
          <w:b/>
          <w:noProof/>
          <w:sz w:val="24"/>
        </w:rPr>
        <w:t>24</w:t>
      </w:r>
      <w:r w:rsidR="0016254D" w:rsidRPr="0016254D">
        <w:rPr>
          <w:b/>
          <w:noProof/>
          <w:sz w:val="24"/>
          <w:vertAlign w:val="superscript"/>
        </w:rPr>
        <w:t>th</w:t>
      </w:r>
      <w:r w:rsidR="00E455C2">
        <w:rPr>
          <w:b/>
          <w:noProof/>
          <w:sz w:val="24"/>
        </w:rPr>
        <w:t xml:space="preserve"> </w:t>
      </w:r>
      <w:r w:rsidR="0016254D">
        <w:rPr>
          <w:b/>
          <w:noProof/>
          <w:sz w:val="24"/>
        </w:rPr>
        <w:t>May</w:t>
      </w:r>
      <w:r w:rsidR="00E455C2">
        <w:rPr>
          <w:b/>
          <w:noProof/>
          <w:sz w:val="24"/>
        </w:rPr>
        <w:t xml:space="preserve"> 202</w:t>
      </w:r>
      <w:r w:rsidR="0016254D">
        <w:rPr>
          <w:b/>
          <w:noProof/>
          <w:sz w:val="24"/>
        </w:rPr>
        <w:t>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5F879150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90084">
        <w:rPr>
          <w:sz w:val="22"/>
          <w:szCs w:val="22"/>
        </w:rPr>
        <w:t>8.9.3</w:t>
      </w:r>
    </w:p>
    <w:p w14:paraId="7554868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3FB5482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50EE0">
        <w:rPr>
          <w:sz w:val="22"/>
          <w:szCs w:val="22"/>
        </w:rPr>
        <w:t xml:space="preserve">UL capacity enhancements </w:t>
      </w:r>
      <w:r w:rsidR="00CC0AD1">
        <w:rPr>
          <w:sz w:val="22"/>
          <w:szCs w:val="22"/>
        </w:rPr>
        <w:t xml:space="preserve">objectives </w:t>
      </w:r>
      <w:r w:rsidR="00D50EE0">
        <w:rPr>
          <w:sz w:val="22"/>
          <w:szCs w:val="22"/>
        </w:rPr>
        <w:t>for IoT NTN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AB2BF9" w14:textId="77777777" w:rsidR="00F50AA0" w:rsidRDefault="00F50AA0" w:rsidP="00F50AA0">
      <w:pPr>
        <w:snapToGrid w:val="0"/>
        <w:spacing w:before="120" w:after="120" w:line="288" w:lineRule="auto"/>
        <w:rPr>
          <w:szCs w:val="21"/>
          <w:lang w:eastAsia="zh-CN"/>
        </w:rPr>
      </w:pPr>
      <w:bookmarkStart w:id="0" w:name="_Ref178064866"/>
      <w:r>
        <w:rPr>
          <w:szCs w:val="21"/>
        </w:rPr>
        <w:t>In RAN#</w:t>
      </w:r>
      <w:r>
        <w:rPr>
          <w:szCs w:val="21"/>
          <w:lang w:eastAsia="zh-CN"/>
        </w:rPr>
        <w:t>102</w:t>
      </w:r>
      <w:r>
        <w:rPr>
          <w:szCs w:val="21"/>
        </w:rPr>
        <w:t xml:space="preserve">, </w:t>
      </w:r>
      <w:r>
        <w:rPr>
          <w:szCs w:val="21"/>
          <w:lang w:eastAsia="zh-CN"/>
        </w:rPr>
        <w:t xml:space="preserve">a new WID for further enhancements on Non-Terrestrial Networks (NTN) for Internet of Things (IoT) </w:t>
      </w:r>
      <w:r>
        <w:rPr>
          <w:szCs w:val="21"/>
        </w:rPr>
        <w:t>has been agreed and in RAN#</w:t>
      </w:r>
      <w:r>
        <w:rPr>
          <w:szCs w:val="21"/>
          <w:lang w:eastAsia="zh-CN"/>
        </w:rPr>
        <w:t>103, the WID is further refined in [1]. The main objectives related to support of capacity enhancements for uplink are 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50AA0" w14:paraId="50B52F6E" w14:textId="77777777" w:rsidTr="00F50AA0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C7F3" w14:textId="77777777" w:rsidR="00F50AA0" w:rsidRDefault="00F50AA0">
            <w:pPr>
              <w:spacing w:after="0"/>
              <w:rPr>
                <w:bCs/>
                <w:i/>
                <w:lang w:eastAsia="en-US"/>
              </w:rPr>
            </w:pPr>
            <w:r>
              <w:rPr>
                <w:bCs/>
                <w:i/>
              </w:rPr>
              <w:t>The aim of this WI is enhancement of IoT-NTN with the following objectives:</w:t>
            </w:r>
          </w:p>
          <w:p w14:paraId="757D7C9B" w14:textId="77777777" w:rsidR="00F50AA0" w:rsidRDefault="00F50AA0">
            <w:pPr>
              <w:spacing w:after="0"/>
              <w:rPr>
                <w:rFonts w:eastAsia="DengXian"/>
                <w:bCs/>
                <w:i/>
                <w:color w:val="0070C0"/>
                <w:lang w:eastAsia="zh-CN"/>
              </w:rPr>
            </w:pPr>
            <w:r>
              <w:rPr>
                <w:rFonts w:eastAsia="DengXian"/>
                <w:bCs/>
                <w:i/>
                <w:color w:val="0070C0"/>
                <w:lang w:eastAsia="zh-CN"/>
              </w:rPr>
              <w:t>&lt;&lt;skip the unrelated parts&gt;&gt;</w:t>
            </w:r>
          </w:p>
          <w:p w14:paraId="6A224383" w14:textId="77777777" w:rsidR="00F50AA0" w:rsidRDefault="00F50AA0" w:rsidP="00F50AA0">
            <w:pPr>
              <w:numPr>
                <w:ilvl w:val="0"/>
                <w:numId w:val="25"/>
              </w:numPr>
              <w:spacing w:after="0"/>
              <w:jc w:val="left"/>
              <w:rPr>
                <w:rFonts w:eastAsiaTheme="minorEastAsia"/>
                <w:bCs/>
                <w:i/>
                <w:lang w:eastAsia="en-US"/>
              </w:rPr>
            </w:pPr>
            <w:r>
              <w:rPr>
                <w:bCs/>
                <w:i/>
              </w:rPr>
              <w:t>Support of Capacity enhancements for uplink</w:t>
            </w:r>
            <w:r>
              <w:rPr>
                <w:bCs/>
                <w:i/>
              </w:rPr>
              <w:br/>
            </w:r>
          </w:p>
          <w:p w14:paraId="3F84E683" w14:textId="77777777" w:rsidR="00F50AA0" w:rsidRDefault="00F50AA0" w:rsidP="00F50AA0">
            <w:pPr>
              <w:numPr>
                <w:ilvl w:val="1"/>
                <w:numId w:val="25"/>
              </w:numPr>
              <w:spacing w:after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 xml:space="preserve">Study then specify, if beneficial, enhancements to enable </w:t>
            </w:r>
            <w:bookmarkStart w:id="1" w:name="OLE_LINK16"/>
            <w:r>
              <w:rPr>
                <w:bCs/>
                <w:i/>
              </w:rPr>
              <w:t xml:space="preserve">multiplexing of multiple UEs </w:t>
            </w:r>
            <w:bookmarkEnd w:id="1"/>
            <w:r>
              <w:rPr>
                <w:bCs/>
                <w:i/>
              </w:rPr>
              <w:t>(e.g. up to the min of 4 and the maximum allowed by the existing UL and DL signalling) in a single 3.75 kHz or 15 kHz subcarrier via orthogonal cover codes (</w:t>
            </w:r>
            <w:bookmarkStart w:id="2" w:name="OLE_LINK15"/>
            <w:r>
              <w:rPr>
                <w:bCs/>
                <w:i/>
              </w:rPr>
              <w:t>OCC</w:t>
            </w:r>
            <w:bookmarkEnd w:id="2"/>
            <w:r>
              <w:rPr>
                <w:bCs/>
                <w:i/>
              </w:rPr>
              <w:t>) for NPUSCH format 1 and NPRACH [RAN1, RAN2, RAN4]</w:t>
            </w:r>
          </w:p>
          <w:p w14:paraId="688BF4F9" w14:textId="77777777" w:rsidR="00F50AA0" w:rsidRDefault="00F50AA0">
            <w:pPr>
              <w:spacing w:after="0"/>
              <w:rPr>
                <w:bCs/>
                <w:i/>
              </w:rPr>
            </w:pPr>
          </w:p>
          <w:p w14:paraId="5C41D5F0" w14:textId="77777777" w:rsidR="00F50AA0" w:rsidRDefault="00F50AA0" w:rsidP="00F50AA0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Multi-tone support for 15 kHz SCS should also be considered</w:t>
            </w:r>
          </w:p>
          <w:p w14:paraId="64B93E17" w14:textId="77777777" w:rsidR="00F50AA0" w:rsidRDefault="00F50AA0" w:rsidP="00F50AA0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 xml:space="preserve">Specify necessary signalling, if needed </w:t>
            </w:r>
          </w:p>
          <w:p w14:paraId="318FD365" w14:textId="77777777" w:rsidR="00F50AA0" w:rsidRDefault="00F50AA0" w:rsidP="00F50AA0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Update RF requirements accordingly, if needed</w:t>
            </w:r>
          </w:p>
          <w:p w14:paraId="75AD97C4" w14:textId="77777777" w:rsidR="00F50AA0" w:rsidRDefault="00F50AA0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1FA41E62" w14:textId="77777777" w:rsidR="00F50AA0" w:rsidRDefault="00F50AA0">
            <w:pPr>
              <w:spacing w:after="0"/>
              <w:ind w:left="1080" w:firstLine="720"/>
              <w:rPr>
                <w:bCs/>
                <w:i/>
              </w:rPr>
            </w:pPr>
            <w:r>
              <w:rPr>
                <w:bCs/>
                <w:i/>
              </w:rPr>
              <w:t>Note: Impact of impairment shall be taken into account</w:t>
            </w:r>
          </w:p>
          <w:p w14:paraId="762E69E5" w14:textId="77777777" w:rsidR="00F50AA0" w:rsidRDefault="00F50AA0">
            <w:pPr>
              <w:spacing w:after="0"/>
              <w:ind w:left="2160"/>
              <w:rPr>
                <w:bCs/>
                <w:i/>
              </w:rPr>
            </w:pPr>
          </w:p>
          <w:p w14:paraId="6DA15D4A" w14:textId="77777777" w:rsidR="00F50AA0" w:rsidRDefault="00F50AA0"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 w14:paraId="6284DDB0" w14:textId="77777777" w:rsidR="00F50AA0" w:rsidRDefault="00F50AA0" w:rsidP="00F50AA0">
            <w:pPr>
              <w:numPr>
                <w:ilvl w:val="1"/>
                <w:numId w:val="25"/>
              </w:numPr>
              <w:tabs>
                <w:tab w:val="num" w:pos="720"/>
              </w:tabs>
              <w:spacing w:after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 xml:space="preserve">Study and specify, if beneficial the following enhancements to </w:t>
            </w:r>
            <w:bookmarkStart w:id="3" w:name="OLE_LINK26"/>
            <w:r>
              <w:rPr>
                <w:bCs/>
                <w:i/>
              </w:rPr>
              <w:t xml:space="preserve">reduce the necessary uplink and downlink signaling to complete an </w:t>
            </w:r>
            <w:bookmarkStart w:id="4" w:name="OLE_LINK14"/>
            <w:r>
              <w:rPr>
                <w:bCs/>
                <w:i/>
              </w:rPr>
              <w:t xml:space="preserve">Early Data Transmission </w:t>
            </w:r>
            <w:bookmarkEnd w:id="4"/>
            <w:r>
              <w:rPr>
                <w:bCs/>
                <w:i/>
              </w:rPr>
              <w:t xml:space="preserve">(EDT) transaction </w:t>
            </w:r>
            <w:bookmarkEnd w:id="3"/>
            <w:r>
              <w:rPr>
                <w:bCs/>
                <w:i/>
              </w:rPr>
              <w:t>[RAN2]:</w:t>
            </w:r>
          </w:p>
          <w:p w14:paraId="1E3981E1" w14:textId="77777777" w:rsidR="00F50AA0" w:rsidRDefault="00F50AA0" w:rsidP="00F50AA0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Msg3 transmission without msg1/</w:t>
            </w:r>
            <w:r>
              <w:rPr>
                <w:i/>
              </w:rPr>
              <w:t xml:space="preserve"> </w:t>
            </w:r>
            <w:r>
              <w:rPr>
                <w:bCs/>
                <w:i/>
              </w:rPr>
              <w:t xml:space="preserve">Random Access Response (RAR) </w:t>
            </w:r>
          </w:p>
          <w:p w14:paraId="1F385F85" w14:textId="77777777" w:rsidR="00F50AA0" w:rsidRDefault="00F50AA0" w:rsidP="00F50AA0">
            <w:pPr>
              <w:numPr>
                <w:ilvl w:val="2"/>
                <w:numId w:val="25"/>
              </w:numPr>
              <w:spacing w:after="0"/>
              <w:jc w:val="left"/>
              <w:rPr>
                <w:bCs/>
                <w:i/>
              </w:rPr>
            </w:pPr>
            <w:r>
              <w:rPr>
                <w:bCs/>
                <w:i/>
              </w:rPr>
              <w:t>Efficient delivery (reduced overhead) of msg4 / RRCEarlyDataComplete</w:t>
            </w:r>
          </w:p>
        </w:tc>
      </w:tr>
    </w:tbl>
    <w:p w14:paraId="51E97F0E" w14:textId="429FEA76" w:rsidR="00F50AA0" w:rsidRDefault="00F50AA0" w:rsidP="00F50AA0">
      <w:pPr>
        <w:spacing w:before="100" w:after="100"/>
        <w:rPr>
          <w:rFonts w:eastAsiaTheme="minorEastAsia" w:cstheme="minorBidi"/>
          <w:szCs w:val="22"/>
        </w:rPr>
      </w:pPr>
      <w:r>
        <w:rPr>
          <w:szCs w:val="21"/>
        </w:rPr>
        <w:t xml:space="preserve">In this document, we will give initial analysis on </w:t>
      </w:r>
      <w:r w:rsidR="007F7D61">
        <w:rPr>
          <w:szCs w:val="21"/>
        </w:rPr>
        <w:t xml:space="preserve">the second item of </w:t>
      </w:r>
      <w:r>
        <w:rPr>
          <w:szCs w:val="21"/>
        </w:rPr>
        <w:t xml:space="preserve">this objective. </w:t>
      </w:r>
    </w:p>
    <w:p w14:paraId="38853E39" w14:textId="77777777" w:rsidR="004000E8" w:rsidRPr="00CE0424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</w:p>
    <w:p w14:paraId="486499DF" w14:textId="01DB2EE9" w:rsidR="00A36315" w:rsidRDefault="00230D18" w:rsidP="00F63950">
      <w:pPr>
        <w:pStyle w:val="Heading2"/>
      </w:pPr>
      <w:r>
        <w:t>2.1</w:t>
      </w:r>
      <w:r>
        <w:tab/>
      </w:r>
      <w:r w:rsidR="00A36315">
        <w:t>Background</w:t>
      </w:r>
    </w:p>
    <w:p w14:paraId="4A8E0100" w14:textId="00531D68" w:rsidR="00CF4DF5" w:rsidRDefault="00CF4DF5" w:rsidP="00CF4DF5">
      <w:r>
        <w:t>Early Data Transmission (EDT) is a</w:t>
      </w:r>
      <w:r w:rsidR="00E90084">
        <w:t>n</w:t>
      </w:r>
      <w:r>
        <w:t xml:space="preserve"> enhancement introduced in LTE Release 15. The primary motivation behind </w:t>
      </w:r>
      <w:r w:rsidR="005E345A">
        <w:t>its</w:t>
      </w:r>
      <w:r>
        <w:t xml:space="preserve"> introduction was to reduce the latency in the control plane</w:t>
      </w:r>
      <w:r w:rsidR="005E345A">
        <w:t xml:space="preserve"> for the delivery of short and infrequent messages</w:t>
      </w:r>
      <w:r>
        <w:t>. This reduction in latency is particularly crucial for many Internet of Things (IoT) and 5G use cases.</w:t>
      </w:r>
      <w:r w:rsidR="00D85E3A">
        <w:t xml:space="preserve"> Both CP </w:t>
      </w:r>
      <w:r w:rsidR="00444007">
        <w:t xml:space="preserve">solution and UP solution are supported. </w:t>
      </w:r>
      <w:r w:rsidR="00005632">
        <w:t xml:space="preserve">The figures below show </w:t>
      </w:r>
      <w:r w:rsidR="003C35A2">
        <w:t xml:space="preserve">the </w:t>
      </w:r>
      <w:r w:rsidR="00001B7A">
        <w:t xml:space="preserve">procedure of MO-EDT for CP solution and UP solution respectively. </w:t>
      </w:r>
    </w:p>
    <w:p w14:paraId="02525180" w14:textId="77777777" w:rsidR="000E447F" w:rsidRDefault="000E447F" w:rsidP="005E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108973F" wp14:editId="1DF59AA8">
            <wp:extent cx="5223510" cy="251206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510" cy="251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99B04" w14:textId="64ADA460" w:rsidR="008754B6" w:rsidRDefault="000E447F" w:rsidP="005E345A">
      <w:pPr>
        <w:pStyle w:val="Caption"/>
        <w:jc w:val="center"/>
      </w:pPr>
      <w:r>
        <w:t xml:space="preserve">Figure </w:t>
      </w:r>
      <w:r w:rsidR="002A1029">
        <w:fldChar w:fldCharType="begin"/>
      </w:r>
      <w:r w:rsidR="002A1029">
        <w:instrText xml:space="preserve"> SEQ Figure \* ARABIC </w:instrText>
      </w:r>
      <w:r w:rsidR="002A1029">
        <w:fldChar w:fldCharType="separate"/>
      </w:r>
      <w:r w:rsidR="00352FDF">
        <w:rPr>
          <w:noProof/>
        </w:rPr>
        <w:t>1</w:t>
      </w:r>
      <w:r w:rsidR="002A1029">
        <w:rPr>
          <w:noProof/>
        </w:rPr>
        <w:fldChar w:fldCharType="end"/>
      </w:r>
      <w:r>
        <w:t xml:space="preserve">. </w:t>
      </w:r>
      <w:r w:rsidR="00C859FF" w:rsidRPr="00C859FF">
        <w:t xml:space="preserve">MO-EDT for </w:t>
      </w:r>
      <w:r w:rsidR="00C26F9B">
        <w:t xml:space="preserve">the </w:t>
      </w:r>
      <w:r w:rsidR="00C859FF" w:rsidRPr="00C859FF">
        <w:t>Control Plane CIoT EPS Optimisation</w:t>
      </w:r>
      <w:r w:rsidR="00C859FF">
        <w:t xml:space="preserve"> (36.300)</w:t>
      </w:r>
    </w:p>
    <w:p w14:paraId="732B7604" w14:textId="77777777" w:rsidR="00C07BC4" w:rsidRDefault="00C07BC4" w:rsidP="00CF4DF5"/>
    <w:p w14:paraId="3E066FE3" w14:textId="77777777" w:rsidR="00332934" w:rsidRDefault="00332934" w:rsidP="005E345A">
      <w:pPr>
        <w:keepNext/>
        <w:jc w:val="center"/>
      </w:pPr>
      <w:r w:rsidRPr="00357DF0">
        <w:rPr>
          <w:rFonts w:eastAsia="SimSun"/>
          <w:lang w:eastAsia="en-US"/>
        </w:rPr>
        <w:object w:dxaOrig="10240" w:dyaOrig="5500" w14:anchorId="6588D2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5pt;height:222pt" o:ole="">
            <v:imagedata r:id="rId12" o:title=""/>
          </v:shape>
          <o:OLEObject Type="Embed" ProgID="Visio.Drawing.15" ShapeID="_x0000_i1025" DrawAspect="Content" ObjectID="_1776757772" r:id="rId13"/>
        </w:object>
      </w:r>
    </w:p>
    <w:p w14:paraId="7DEFD055" w14:textId="23DA0745" w:rsidR="00713E7E" w:rsidRDefault="00332934" w:rsidP="005E345A">
      <w:pPr>
        <w:pStyle w:val="Caption"/>
        <w:jc w:val="center"/>
      </w:pPr>
      <w:r>
        <w:t xml:space="preserve">Figure </w:t>
      </w:r>
      <w:r w:rsidR="002A1029">
        <w:fldChar w:fldCharType="begin"/>
      </w:r>
      <w:r w:rsidR="002A1029">
        <w:instrText xml:space="preserve"> SEQ Figure \* ARABIC </w:instrText>
      </w:r>
      <w:r w:rsidR="002A1029">
        <w:fldChar w:fldCharType="separate"/>
      </w:r>
      <w:r w:rsidR="00352FDF">
        <w:rPr>
          <w:noProof/>
        </w:rPr>
        <w:t>2</w:t>
      </w:r>
      <w:r w:rsidR="002A1029">
        <w:rPr>
          <w:noProof/>
        </w:rPr>
        <w:fldChar w:fldCharType="end"/>
      </w:r>
      <w:r w:rsidR="00713E7E">
        <w:t xml:space="preserve">. </w:t>
      </w:r>
      <w:r w:rsidR="00713E7E" w:rsidRPr="00C859FF">
        <w:t xml:space="preserve">MO-EDT for </w:t>
      </w:r>
      <w:r w:rsidR="00C26F9B">
        <w:t xml:space="preserve">the </w:t>
      </w:r>
      <w:r w:rsidR="00713E7E">
        <w:t>User</w:t>
      </w:r>
      <w:r w:rsidR="00713E7E" w:rsidRPr="00C859FF">
        <w:t xml:space="preserve"> Plane CIoT EPS Optimisation</w:t>
      </w:r>
      <w:r w:rsidR="00713E7E">
        <w:t xml:space="preserve"> (36.300)</w:t>
      </w:r>
    </w:p>
    <w:p w14:paraId="118311C7" w14:textId="77777777" w:rsidR="00915602" w:rsidRDefault="00C8567A" w:rsidP="00C8567A">
      <w:pPr>
        <w:spacing w:before="240"/>
      </w:pPr>
      <w:r>
        <w:rPr>
          <w:lang w:eastAsia="en-GB"/>
        </w:rPr>
        <w:t>In Release 16</w:t>
      </w:r>
      <w:r w:rsidR="00AF15E5">
        <w:rPr>
          <w:lang w:eastAsia="en-GB"/>
        </w:rPr>
        <w:t>,</w:t>
      </w:r>
      <w:r>
        <w:rPr>
          <w:lang w:eastAsia="en-GB"/>
        </w:rPr>
        <w:t xml:space="preserve"> </w:t>
      </w:r>
      <w:r w:rsidRPr="00C8567A">
        <w:rPr>
          <w:lang w:eastAsia="en-GB"/>
        </w:rPr>
        <w:t>Preconfigured Uplink Resources</w:t>
      </w:r>
      <w:r>
        <w:rPr>
          <w:lang w:eastAsia="en-GB"/>
        </w:rPr>
        <w:t xml:space="preserve"> (PUR) </w:t>
      </w:r>
      <w:r w:rsidR="00B25879">
        <w:rPr>
          <w:lang w:eastAsia="en-GB"/>
        </w:rPr>
        <w:t xml:space="preserve">was introduced </w:t>
      </w:r>
      <w:r w:rsidR="00085163">
        <w:rPr>
          <w:lang w:eastAsia="en-GB"/>
        </w:rPr>
        <w:t>where UL</w:t>
      </w:r>
      <w:r w:rsidR="00085163" w:rsidRPr="00085163">
        <w:rPr>
          <w:lang w:eastAsia="en-GB"/>
        </w:rPr>
        <w:t xml:space="preserve"> resources </w:t>
      </w:r>
      <w:r w:rsidR="00690646">
        <w:rPr>
          <w:lang w:eastAsia="en-GB"/>
        </w:rPr>
        <w:t xml:space="preserve">are assigned </w:t>
      </w:r>
      <w:r w:rsidR="00085163" w:rsidRPr="00085163">
        <w:rPr>
          <w:lang w:eastAsia="en-GB"/>
        </w:rPr>
        <w:t xml:space="preserve">to a UE in advance for </w:t>
      </w:r>
      <w:r w:rsidR="009F7773">
        <w:rPr>
          <w:lang w:eastAsia="en-GB"/>
        </w:rPr>
        <w:t xml:space="preserve">its UL </w:t>
      </w:r>
      <w:r w:rsidR="00085163" w:rsidRPr="00085163">
        <w:rPr>
          <w:lang w:eastAsia="en-GB"/>
        </w:rPr>
        <w:t xml:space="preserve">transmission </w:t>
      </w:r>
      <w:r w:rsidR="004A6E06">
        <w:rPr>
          <w:lang w:eastAsia="en-GB"/>
        </w:rPr>
        <w:t>from</w:t>
      </w:r>
      <w:r w:rsidR="009F7773">
        <w:rPr>
          <w:lang w:eastAsia="en-GB"/>
        </w:rPr>
        <w:t xml:space="preserve"> </w:t>
      </w:r>
      <w:r w:rsidR="00885497">
        <w:rPr>
          <w:lang w:eastAsia="en-GB"/>
        </w:rPr>
        <w:t xml:space="preserve">RRC_IDLE </w:t>
      </w:r>
      <w:r w:rsidR="00085163" w:rsidRPr="00085163">
        <w:rPr>
          <w:lang w:eastAsia="en-GB"/>
        </w:rPr>
        <w:t xml:space="preserve">without the need of </w:t>
      </w:r>
      <w:r w:rsidR="0093009B">
        <w:rPr>
          <w:lang w:eastAsia="en-GB"/>
        </w:rPr>
        <w:t xml:space="preserve">RRC </w:t>
      </w:r>
      <w:r w:rsidR="00085163" w:rsidRPr="00085163">
        <w:rPr>
          <w:lang w:eastAsia="en-GB"/>
        </w:rPr>
        <w:t>connection setup</w:t>
      </w:r>
      <w:r w:rsidR="0093009B">
        <w:rPr>
          <w:lang w:eastAsia="en-GB"/>
        </w:rPr>
        <w:t xml:space="preserve">. </w:t>
      </w:r>
      <w:r w:rsidR="004F7E27">
        <w:rPr>
          <w:lang w:eastAsia="en-GB"/>
        </w:rPr>
        <w:t>Also</w:t>
      </w:r>
      <w:r w:rsidR="009842C2">
        <w:rPr>
          <w:lang w:eastAsia="en-GB"/>
        </w:rPr>
        <w:t>,</w:t>
      </w:r>
      <w:r w:rsidR="004F7E27">
        <w:rPr>
          <w:lang w:eastAsia="en-GB"/>
        </w:rPr>
        <w:t xml:space="preserve"> </w:t>
      </w:r>
      <w:r w:rsidR="004F7E27">
        <w:t>both CP solution and UP solution are supported for PUR. The figures below show the procedure of PUR for CP solution and UP solution respectively.</w:t>
      </w:r>
      <w:r w:rsidR="00B17538" w:rsidRPr="00B17538">
        <w:t xml:space="preserve"> Compared to Release</w:t>
      </w:r>
      <w:r w:rsidR="00B17538">
        <w:t xml:space="preserve"> </w:t>
      </w:r>
      <w:r w:rsidR="00B17538" w:rsidRPr="00B17538">
        <w:t xml:space="preserve">15 EDT, </w:t>
      </w:r>
      <w:r w:rsidR="000D6CA8">
        <w:t xml:space="preserve">uplink transmission </w:t>
      </w:r>
      <w:r w:rsidR="0016230A">
        <w:t xml:space="preserve">resources </w:t>
      </w:r>
      <w:r w:rsidR="000D6CA8">
        <w:t>are</w:t>
      </w:r>
      <w:r w:rsidR="0016230A">
        <w:t xml:space="preserve"> </w:t>
      </w:r>
      <w:r w:rsidR="000D6CA8">
        <w:t xml:space="preserve">configured in advance in a previous RRC connection </w:t>
      </w:r>
      <w:r w:rsidR="00915602">
        <w:t>and can hold valid upon three conditions:</w:t>
      </w:r>
    </w:p>
    <w:p w14:paraId="3F94BA98" w14:textId="77777777" w:rsidR="006A7FD4" w:rsidRDefault="006A7FD4" w:rsidP="00403751">
      <w:pPr>
        <w:pStyle w:val="ListParagraph"/>
        <w:numPr>
          <w:ilvl w:val="0"/>
          <w:numId w:val="26"/>
        </w:numPr>
        <w:spacing w:before="240"/>
      </w:pPr>
      <w:r>
        <w:t>The serving cell has not changed.</w:t>
      </w:r>
    </w:p>
    <w:p w14:paraId="47C7281E" w14:textId="77777777" w:rsidR="006A7FD4" w:rsidRDefault="006A7FD4" w:rsidP="00403751">
      <w:pPr>
        <w:pStyle w:val="ListParagraph"/>
        <w:numPr>
          <w:ilvl w:val="0"/>
          <w:numId w:val="26"/>
        </w:numPr>
        <w:spacing w:before="240"/>
      </w:pPr>
      <w:r>
        <w:t>Tracking area timer in the PUR configuration has not expired.</w:t>
      </w:r>
    </w:p>
    <w:p w14:paraId="6ADA676E" w14:textId="3E5AEB01" w:rsidR="006A7FD4" w:rsidRDefault="006A7FD4" w:rsidP="00403751">
      <w:pPr>
        <w:pStyle w:val="ListParagraph"/>
        <w:numPr>
          <w:ilvl w:val="0"/>
          <w:numId w:val="26"/>
        </w:numPr>
        <w:spacing w:before="240"/>
      </w:pPr>
      <w:r>
        <w:t>RSRP has not changed more than a threshold.</w:t>
      </w:r>
    </w:p>
    <w:p w14:paraId="050F0FB7" w14:textId="2B337F50" w:rsidR="00614C83" w:rsidRDefault="000D6CA8" w:rsidP="00C8567A">
      <w:pPr>
        <w:spacing w:before="240"/>
      </w:pPr>
      <w:r>
        <w:t xml:space="preserve">In this way, </w:t>
      </w:r>
      <w:r w:rsidR="00B17538" w:rsidRPr="00B17538">
        <w:t xml:space="preserve">Msg1 and Msg2 </w:t>
      </w:r>
      <w:r>
        <w:t>can be</w:t>
      </w:r>
      <w:r w:rsidR="00B17538" w:rsidRPr="00B17538">
        <w:t xml:space="preserve"> omitted,</w:t>
      </w:r>
      <w:r w:rsidR="00F26280">
        <w:t xml:space="preserve"> and for</w:t>
      </w:r>
      <w:r w:rsidR="00D902C7">
        <w:t xml:space="preserve"> the CP solution, i</w:t>
      </w:r>
      <w:r w:rsidR="00D902C7" w:rsidRPr="00357DF0">
        <w:t xml:space="preserve">f there is no </w:t>
      </w:r>
      <w:r w:rsidR="00D902C7">
        <w:t>DL</w:t>
      </w:r>
      <w:r w:rsidR="00D902C7" w:rsidRPr="00357DF0">
        <w:t xml:space="preserve"> data, the (ng-)eNB may terminate the procedure by sending a layer 1 acknowledgement optionally containing a Time Advance Command, a MAC Time advance Command or </w:t>
      </w:r>
      <w:r w:rsidR="00D902C7" w:rsidRPr="00357DF0">
        <w:rPr>
          <w:i/>
        </w:rPr>
        <w:t>RRCEarlyDataComplete</w:t>
      </w:r>
      <w:r w:rsidR="00D902C7" w:rsidRPr="00357DF0">
        <w:t xml:space="preserve"> with no user data</w:t>
      </w:r>
      <w:r w:rsidR="00614C83">
        <w:t>.</w:t>
      </w:r>
    </w:p>
    <w:p w14:paraId="6C36F0BC" w14:textId="77777777" w:rsidR="00A35856" w:rsidRDefault="00A35856" w:rsidP="000A6029">
      <w:pPr>
        <w:keepNext/>
        <w:spacing w:before="240"/>
        <w:jc w:val="center"/>
      </w:pPr>
      <w:r w:rsidRPr="00357DF0">
        <w:object w:dxaOrig="10246" w:dyaOrig="4635" w14:anchorId="07FC458F">
          <v:shape id="_x0000_i1026" type="#_x0000_t75" style="width:411.75pt;height:184.5pt" o:ole="">
            <v:imagedata r:id="rId14" o:title=""/>
          </v:shape>
          <o:OLEObject Type="Embed" ProgID="Visio.Drawing.15" ShapeID="_x0000_i1026" DrawAspect="Content" ObjectID="_1776757773" r:id="rId15"/>
        </w:object>
      </w:r>
    </w:p>
    <w:p w14:paraId="6194352E" w14:textId="7B3BC6F1" w:rsidR="00A35856" w:rsidRDefault="00A35856" w:rsidP="000A6029">
      <w:pPr>
        <w:pStyle w:val="Caption"/>
        <w:jc w:val="center"/>
      </w:pPr>
      <w:r>
        <w:t xml:space="preserve">Figure </w:t>
      </w:r>
      <w:r w:rsidR="002A1029">
        <w:fldChar w:fldCharType="begin"/>
      </w:r>
      <w:r w:rsidR="002A1029">
        <w:instrText xml:space="preserve"> SEQ Figure \* ARABIC </w:instrText>
      </w:r>
      <w:r w:rsidR="002A1029">
        <w:fldChar w:fldCharType="separate"/>
      </w:r>
      <w:r w:rsidR="00352FDF">
        <w:rPr>
          <w:noProof/>
        </w:rPr>
        <w:t>3</w:t>
      </w:r>
      <w:r w:rsidR="002A1029">
        <w:rPr>
          <w:noProof/>
        </w:rPr>
        <w:fldChar w:fldCharType="end"/>
      </w:r>
      <w:r>
        <w:t>. Transmission</w:t>
      </w:r>
      <w:r w:rsidRPr="00C859FF">
        <w:t xml:space="preserve"> </w:t>
      </w:r>
      <w:r>
        <w:t xml:space="preserve">using PUR </w:t>
      </w:r>
      <w:r w:rsidRPr="00C859FF">
        <w:t xml:space="preserve">for </w:t>
      </w:r>
      <w:r w:rsidR="00C26F9B">
        <w:t>the Control</w:t>
      </w:r>
      <w:r w:rsidRPr="00C859FF">
        <w:t xml:space="preserve"> Plane CIoT EPS Optimisation</w:t>
      </w:r>
      <w:r>
        <w:t xml:space="preserve"> (36.300)</w:t>
      </w:r>
    </w:p>
    <w:p w14:paraId="5FB56E3E" w14:textId="77777777" w:rsidR="00352FDF" w:rsidRPr="00352FDF" w:rsidRDefault="00352FDF" w:rsidP="000A6029">
      <w:pPr>
        <w:jc w:val="center"/>
        <w:rPr>
          <w:lang w:eastAsia="en-GB"/>
        </w:rPr>
      </w:pPr>
    </w:p>
    <w:p w14:paraId="36FFEA96" w14:textId="77777777" w:rsidR="00352FDF" w:rsidRDefault="00352FDF" w:rsidP="000A6029">
      <w:pPr>
        <w:pStyle w:val="Caption"/>
        <w:keepNext/>
        <w:jc w:val="center"/>
      </w:pPr>
      <w:r w:rsidRPr="00357DF0">
        <w:object w:dxaOrig="10246" w:dyaOrig="3938" w14:anchorId="3C1D0D06">
          <v:shape id="_x0000_i1027" type="#_x0000_t75" style="width:411.75pt;height:159pt" o:ole="">
            <v:imagedata r:id="rId16" o:title=""/>
          </v:shape>
          <o:OLEObject Type="Embed" ProgID="Visio.Drawing.15" ShapeID="_x0000_i1027" DrawAspect="Content" ObjectID="_1776757774" r:id="rId17"/>
        </w:object>
      </w:r>
    </w:p>
    <w:p w14:paraId="4115F067" w14:textId="5260CC32" w:rsidR="00614C83" w:rsidRPr="00713E7E" w:rsidRDefault="00352FDF" w:rsidP="000A6029">
      <w:pPr>
        <w:pStyle w:val="Caption"/>
        <w:jc w:val="center"/>
        <w:rPr>
          <w:lang w:eastAsia="ja-JP"/>
        </w:rPr>
      </w:pPr>
      <w:r>
        <w:t xml:space="preserve">Figure </w:t>
      </w:r>
      <w:r w:rsidR="002A1029">
        <w:fldChar w:fldCharType="begin"/>
      </w:r>
      <w:r w:rsidR="002A1029">
        <w:instrText xml:space="preserve"> SEQ Figure \* ARABIC </w:instrText>
      </w:r>
      <w:r w:rsidR="002A1029">
        <w:fldChar w:fldCharType="separate"/>
      </w:r>
      <w:r>
        <w:rPr>
          <w:noProof/>
        </w:rPr>
        <w:t>4</w:t>
      </w:r>
      <w:r w:rsidR="002A1029">
        <w:rPr>
          <w:noProof/>
        </w:rPr>
        <w:fldChar w:fldCharType="end"/>
      </w:r>
      <w:r>
        <w:t>. Transmission</w:t>
      </w:r>
      <w:r w:rsidRPr="00C859FF">
        <w:t xml:space="preserve"> </w:t>
      </w:r>
      <w:r>
        <w:t xml:space="preserve">using PUR </w:t>
      </w:r>
      <w:r w:rsidRPr="00C859FF">
        <w:t xml:space="preserve">for </w:t>
      </w:r>
      <w:r>
        <w:t>the User</w:t>
      </w:r>
      <w:r w:rsidRPr="00C859FF">
        <w:t xml:space="preserve"> Plane CIoT EPS Optimisation</w:t>
      </w:r>
      <w:r>
        <w:t xml:space="preserve"> (36.300)</w:t>
      </w:r>
    </w:p>
    <w:p w14:paraId="6AB0EB5E" w14:textId="190892B9" w:rsidR="00F63950" w:rsidRDefault="00A36315" w:rsidP="00F63950">
      <w:pPr>
        <w:pStyle w:val="Heading2"/>
      </w:pPr>
      <w:r>
        <w:t>2.2</w:t>
      </w:r>
      <w:r>
        <w:tab/>
        <w:t>Rel-19 enhancements</w:t>
      </w:r>
    </w:p>
    <w:p w14:paraId="5AF2124C" w14:textId="413A0ACB" w:rsidR="005F3043" w:rsidRDefault="00DB0796" w:rsidP="00A36315">
      <w:r>
        <w:t>Upon review</w:t>
      </w:r>
      <w:r w:rsidR="00A36315">
        <w:t xml:space="preserve"> of the </w:t>
      </w:r>
      <w:r>
        <w:t>Rel-19</w:t>
      </w:r>
      <w:r w:rsidR="008715AB">
        <w:t xml:space="preserve"> WID </w:t>
      </w:r>
      <w:r w:rsidR="003952E6">
        <w:t>[1]</w:t>
      </w:r>
      <w:r w:rsidR="005F3043">
        <w:t>,</w:t>
      </w:r>
      <w:r w:rsidR="003952E6">
        <w:t xml:space="preserve"> </w:t>
      </w:r>
      <w:r w:rsidR="008715AB">
        <w:t xml:space="preserve">it </w:t>
      </w:r>
      <w:r>
        <w:t>becomes unequivocally</w:t>
      </w:r>
      <w:r w:rsidR="008715AB">
        <w:t xml:space="preserve"> clear that</w:t>
      </w:r>
      <w:r w:rsidR="00807F96">
        <w:t xml:space="preserve"> the </w:t>
      </w:r>
      <w:r>
        <w:t xml:space="preserve">main focus for </w:t>
      </w:r>
      <w:r w:rsidR="00807F96">
        <w:t>UL c</w:t>
      </w:r>
      <w:r w:rsidR="00807F96" w:rsidRPr="00807F96">
        <w:t xml:space="preserve">apacity enhancements </w:t>
      </w:r>
      <w:r>
        <w:t xml:space="preserve">should be on methods </w:t>
      </w:r>
      <w:r w:rsidR="008715AB" w:rsidRPr="008715AB">
        <w:t xml:space="preserve">to </w:t>
      </w:r>
      <w:r w:rsidR="0023061E">
        <w:t>minimize</w:t>
      </w:r>
      <w:r w:rsidR="008715AB" w:rsidRPr="008715AB">
        <w:t xml:space="preserve"> the necessary uplink and downlink </w:t>
      </w:r>
      <w:r w:rsidR="005F3043" w:rsidRPr="008715AB">
        <w:t>signalling</w:t>
      </w:r>
      <w:r w:rsidR="008715AB" w:rsidRPr="008715AB">
        <w:t xml:space="preserve"> </w:t>
      </w:r>
      <w:r w:rsidR="004B0A84">
        <w:t>required to successfully</w:t>
      </w:r>
      <w:r w:rsidR="008715AB" w:rsidRPr="008715AB">
        <w:t xml:space="preserve"> complete an Early Data Transmission (EDT) transaction</w:t>
      </w:r>
      <w:r w:rsidR="00AF4726">
        <w:t>. To be more precise, the scope of</w:t>
      </w:r>
      <w:r w:rsidR="00E53870">
        <w:t xml:space="preserve"> </w:t>
      </w:r>
      <w:r w:rsidR="00C228D8">
        <w:t xml:space="preserve">the </w:t>
      </w:r>
      <w:r w:rsidR="008D6D06">
        <w:t xml:space="preserve">enhancements </w:t>
      </w:r>
      <w:r w:rsidR="00AF4726">
        <w:t xml:space="preserve">should be strictly </w:t>
      </w:r>
      <w:r w:rsidR="008D6D06">
        <w:t xml:space="preserve">limited to </w:t>
      </w:r>
      <w:r w:rsidR="00A944CA">
        <w:t xml:space="preserve">EDT </w:t>
      </w:r>
      <w:r w:rsidR="00A4086C">
        <w:t>without</w:t>
      </w:r>
      <w:r w:rsidR="00A944CA">
        <w:t xml:space="preserve"> </w:t>
      </w:r>
      <w:r w:rsidR="00C228D8">
        <w:t xml:space="preserve">Msg1 and Msg2, </w:t>
      </w:r>
      <w:r w:rsidR="006C5FEC">
        <w:t>thereby resulting</w:t>
      </w:r>
      <w:r w:rsidR="00D235E1">
        <w:t xml:space="preserve"> </w:t>
      </w:r>
      <w:r w:rsidR="001B65F3">
        <w:t xml:space="preserve">in </w:t>
      </w:r>
      <w:r w:rsidR="006C5FEC">
        <w:t>a streamlined</w:t>
      </w:r>
      <w:r w:rsidR="001B65F3">
        <w:t xml:space="preserve"> </w:t>
      </w:r>
      <w:r w:rsidR="008D6D06">
        <w:t xml:space="preserve">2-step </w:t>
      </w:r>
      <w:r w:rsidR="007D71CF">
        <w:t>random access</w:t>
      </w:r>
      <w:r w:rsidR="00F33DE9">
        <w:t xml:space="preserve"> procedure</w:t>
      </w:r>
      <w:r w:rsidR="00485397">
        <w:t>.</w:t>
      </w:r>
      <w:r w:rsidR="00F33DE9">
        <w:t xml:space="preserve"> In this context, any </w:t>
      </w:r>
      <w:r w:rsidR="008F7ADA">
        <w:t>enhancements</w:t>
      </w:r>
      <w:r w:rsidR="00F33DE9">
        <w:t xml:space="preserve"> to PUR are evidently not within the WID’s defined scope.</w:t>
      </w:r>
    </w:p>
    <w:p w14:paraId="4F70D571" w14:textId="77777777" w:rsidR="008F7ADA" w:rsidRDefault="008F7ADA" w:rsidP="00A36315"/>
    <w:p w14:paraId="776B4541" w14:textId="208CF215" w:rsidR="00AD7C75" w:rsidRDefault="00AD7C75" w:rsidP="008F7ADA">
      <w:pPr>
        <w:pStyle w:val="Observation"/>
      </w:pPr>
      <w:bookmarkStart w:id="5" w:name="_Toc166143063"/>
      <w:r>
        <w:t xml:space="preserve">Enhancements to PUR are not </w:t>
      </w:r>
      <w:r w:rsidR="008F7ADA">
        <w:t>with</w:t>
      </w:r>
      <w:r>
        <w:t xml:space="preserve"> the </w:t>
      </w:r>
      <w:r w:rsidR="008F7ADA">
        <w:t xml:space="preserve">Rel-19 IoT NTN </w:t>
      </w:r>
      <w:r>
        <w:t>WID</w:t>
      </w:r>
      <w:r w:rsidR="008F7ADA">
        <w:t>’s</w:t>
      </w:r>
      <w:r>
        <w:t xml:space="preserve"> scope.</w:t>
      </w:r>
      <w:bookmarkEnd w:id="5"/>
    </w:p>
    <w:p w14:paraId="7749CFDA" w14:textId="77777777" w:rsidR="008F7ADA" w:rsidRDefault="008F7ADA" w:rsidP="008F7ADA"/>
    <w:p w14:paraId="5C63072D" w14:textId="77777777" w:rsidR="0096675E" w:rsidRDefault="00D478B8" w:rsidP="00AD7C75">
      <w:r>
        <w:t xml:space="preserve">Following </w:t>
      </w:r>
      <w:r w:rsidR="002F7EAE">
        <w:t>an intense round of</w:t>
      </w:r>
      <w:r>
        <w:t xml:space="preserve"> discussions in the RAN plenary, w</w:t>
      </w:r>
      <w:r w:rsidR="005F3043">
        <w:t xml:space="preserve">e </w:t>
      </w:r>
      <w:r w:rsidR="002F7EAE">
        <w:t>arrived at the consensus that any</w:t>
      </w:r>
      <w:r w:rsidR="005F3043">
        <w:t xml:space="preserve"> enhancements to</w:t>
      </w:r>
      <w:r w:rsidR="00B3075F" w:rsidRPr="00B3075F">
        <w:t xml:space="preserve"> </w:t>
      </w:r>
      <w:r w:rsidR="00B3075F">
        <w:t xml:space="preserve">PUR </w:t>
      </w:r>
      <w:r w:rsidR="0032437E">
        <w:t>should</w:t>
      </w:r>
      <w:r>
        <w:t xml:space="preserve"> </w:t>
      </w:r>
      <w:r w:rsidR="00B3075F">
        <w:t xml:space="preserve">not </w:t>
      </w:r>
      <w:r>
        <w:t xml:space="preserve">be considered </w:t>
      </w:r>
      <w:r w:rsidR="00B3075F">
        <w:t>within the scope</w:t>
      </w:r>
      <w:r w:rsidR="0032437E">
        <w:t xml:space="preserve"> of this work item</w:t>
      </w:r>
      <w:r w:rsidR="00B3075F">
        <w:t xml:space="preserve">. </w:t>
      </w:r>
      <w:r w:rsidR="007F2855">
        <w:t>While it is undeniably that</w:t>
      </w:r>
      <w:r>
        <w:t xml:space="preserve"> PUR </w:t>
      </w:r>
      <w:r w:rsidR="007F2855">
        <w:t xml:space="preserve">facilitates the </w:t>
      </w:r>
      <w:r>
        <w:t xml:space="preserve">transmission of Msg3 transmission without </w:t>
      </w:r>
      <w:r w:rsidR="00420BC3">
        <w:t xml:space="preserve">the need for </w:t>
      </w:r>
      <w:r>
        <w:t xml:space="preserve">Msg1/Random Access Response (RAR), </w:t>
      </w:r>
      <w:r w:rsidR="00955D59">
        <w:t xml:space="preserve">we must acknowledge </w:t>
      </w:r>
      <w:r w:rsidR="00A21ECE">
        <w:t>it</w:t>
      </w:r>
      <w:r w:rsidR="006C259C">
        <w:t xml:space="preserve">s </w:t>
      </w:r>
      <w:r w:rsidR="00805461">
        <w:t xml:space="preserve">limitations </w:t>
      </w:r>
      <w:r w:rsidR="006C259C">
        <w:t>in NTN due to the constant</w:t>
      </w:r>
      <w:r w:rsidR="006C2F44">
        <w:t xml:space="preserve"> </w:t>
      </w:r>
      <w:r w:rsidR="006C259C">
        <w:t xml:space="preserve">cell </w:t>
      </w:r>
      <w:r w:rsidR="006C2F44">
        <w:t>changes and the unique</w:t>
      </w:r>
      <w:r w:rsidR="006C259C">
        <w:t xml:space="preserve"> handling of Timing Advance.</w:t>
      </w:r>
      <w:r w:rsidR="00A21ECE">
        <w:t xml:space="preserve"> </w:t>
      </w:r>
      <w:r w:rsidR="00BF00F3">
        <w:t>Implementing PUR in an NTN scenario would necessitate a unique approach</w:t>
      </w:r>
      <w:r w:rsidR="0070362C">
        <w:t xml:space="preserve">, which contradicts some of the </w:t>
      </w:r>
      <w:r w:rsidR="002572B8">
        <w:t xml:space="preserve">PUR </w:t>
      </w:r>
      <w:r w:rsidR="0096675E">
        <w:t>outlined in the previous section</w:t>
      </w:r>
      <w:r w:rsidR="002572B8">
        <w:t>.</w:t>
      </w:r>
    </w:p>
    <w:p w14:paraId="4BBFA2F9" w14:textId="77777777" w:rsidR="00AA236E" w:rsidRDefault="00AA236E" w:rsidP="00AD7C75"/>
    <w:p w14:paraId="2AC926F0" w14:textId="66BE4AD8" w:rsidR="003E7060" w:rsidRDefault="0058478C" w:rsidP="00AA236E">
      <w:pPr>
        <w:pStyle w:val="Observation"/>
      </w:pPr>
      <w:bookmarkStart w:id="6" w:name="_Toc166143064"/>
      <w:r>
        <w:t>E</w:t>
      </w:r>
      <w:r w:rsidR="00AA236E">
        <w:t>nhanc</w:t>
      </w:r>
      <w:r>
        <w:t>ing</w:t>
      </w:r>
      <w:r w:rsidR="00AA236E">
        <w:t xml:space="preserve"> PUR for NTN may </w:t>
      </w:r>
      <w:r>
        <w:t>require substantial changes that could con</w:t>
      </w:r>
      <w:r w:rsidR="0044656F">
        <w:t xml:space="preserve">tradict legacy </w:t>
      </w:r>
      <w:r>
        <w:t xml:space="preserve">PUR enabling </w:t>
      </w:r>
      <w:r w:rsidR="0044656F">
        <w:t>conditions</w:t>
      </w:r>
      <w:r w:rsidR="00501907">
        <w:t>, thereby increasing complexity</w:t>
      </w:r>
      <w:r w:rsidR="00AA236E">
        <w:t>.</w:t>
      </w:r>
      <w:bookmarkEnd w:id="6"/>
    </w:p>
    <w:p w14:paraId="42F0AE83" w14:textId="77777777" w:rsidR="00AA236E" w:rsidRDefault="00AA236E" w:rsidP="00AA236E"/>
    <w:p w14:paraId="1247E828" w14:textId="46E271DB" w:rsidR="00D478B8" w:rsidRDefault="00573498" w:rsidP="00D478B8">
      <w:r>
        <w:t>Furthermore, it</w:t>
      </w:r>
      <w:r w:rsidR="002572B8">
        <w:t xml:space="preserve"> is </w:t>
      </w:r>
      <w:r>
        <w:t xml:space="preserve">critical to note that the Work Item (WI) is allocated </w:t>
      </w:r>
      <w:r w:rsidR="002572B8">
        <w:t>only 0</w:t>
      </w:r>
      <w:r>
        <w:t>.</w:t>
      </w:r>
      <w:r w:rsidR="002572B8">
        <w:t xml:space="preserve">5 </w:t>
      </w:r>
      <w:r>
        <w:t xml:space="preserve">TUs. The </w:t>
      </w:r>
      <w:r w:rsidR="002572B8">
        <w:t>objective</w:t>
      </w:r>
      <w:r w:rsidR="00422B6B">
        <w:t xml:space="preserve"> </w:t>
      </w:r>
      <w:r>
        <w:t>of this WI is to</w:t>
      </w:r>
      <w:r w:rsidR="00422B6B">
        <w:t xml:space="preserve"> study and specify if beneficial</w:t>
      </w:r>
      <w:r>
        <w:t xml:space="preserve"> aspects are found, which suggests that</w:t>
      </w:r>
      <w:r w:rsidR="00422B6B">
        <w:t xml:space="preserve"> </w:t>
      </w:r>
      <w:r w:rsidR="00162DD0">
        <w:t xml:space="preserve">RAN2 should </w:t>
      </w:r>
      <w:r>
        <w:t>initiate</w:t>
      </w:r>
      <w:r w:rsidR="00162DD0">
        <w:t xml:space="preserve"> with a </w:t>
      </w:r>
      <w:r>
        <w:t xml:space="preserve">comprehensive </w:t>
      </w:r>
      <w:r w:rsidR="00162DD0">
        <w:t>benefit/cost analysis or</w:t>
      </w:r>
      <w:r>
        <w:t>, at least, a</w:t>
      </w:r>
      <w:r w:rsidR="001842E5">
        <w:t xml:space="preserve"> quantification of </w:t>
      </w:r>
      <w:r>
        <w:t>overhead signalling savings. This will help determine the extent to which</w:t>
      </w:r>
      <w:r w:rsidR="00422B6B">
        <w:t xml:space="preserve"> </w:t>
      </w:r>
      <w:r w:rsidR="001842E5">
        <w:t>enhancements</w:t>
      </w:r>
      <w:r w:rsidR="00422B6B">
        <w:t xml:space="preserve"> to</w:t>
      </w:r>
      <w:r w:rsidR="001842E5">
        <w:t xml:space="preserve"> the legacy</w:t>
      </w:r>
      <w:r w:rsidR="00422B6B">
        <w:t xml:space="preserve"> </w:t>
      </w:r>
      <w:r w:rsidR="001842E5">
        <w:t xml:space="preserve">EDT </w:t>
      </w:r>
      <w:r>
        <w:t>can be improved in NTN scenarios.</w:t>
      </w:r>
      <w:r w:rsidR="0009126F">
        <w:t xml:space="preserve"> </w:t>
      </w:r>
      <w:r>
        <w:t>Therefore, given the limited resources and the defined scope, RAN2 should solely concentrate its efforts on EDT</w:t>
      </w:r>
      <w:r w:rsidR="00FB2E3D">
        <w:t>.</w:t>
      </w:r>
    </w:p>
    <w:p w14:paraId="2643B08F" w14:textId="77777777" w:rsidR="00A36315" w:rsidRPr="00A36315" w:rsidRDefault="00A36315" w:rsidP="00A36315"/>
    <w:p w14:paraId="2F609D98" w14:textId="0920AADE" w:rsidR="00287838" w:rsidRDefault="00A36315" w:rsidP="00A04F49">
      <w:pPr>
        <w:pStyle w:val="Proposal"/>
      </w:pPr>
      <w:bookmarkStart w:id="7" w:name="_Toc347823621"/>
      <w:bookmarkStart w:id="8" w:name="_Toc347824073"/>
      <w:bookmarkStart w:id="9" w:name="_Toc347824246"/>
      <w:bookmarkStart w:id="10" w:name="_Toc166143066"/>
      <w:r>
        <w:t xml:space="preserve">RAN2 </w:t>
      </w:r>
      <w:r w:rsidR="00422B6B">
        <w:t>prioritizes</w:t>
      </w:r>
      <w:r>
        <w:t xml:space="preserve"> enhancements to </w:t>
      </w:r>
      <w:r w:rsidR="009358D2">
        <w:t xml:space="preserve">the </w:t>
      </w:r>
      <w:r>
        <w:t>EDT procedure in Rel-19</w:t>
      </w:r>
      <w:r w:rsidR="00CC2011" w:rsidRPr="00A04F49">
        <w:t>.</w:t>
      </w:r>
      <w:bookmarkEnd w:id="7"/>
      <w:bookmarkEnd w:id="8"/>
      <w:bookmarkEnd w:id="9"/>
      <w:bookmarkEnd w:id="10"/>
    </w:p>
    <w:p w14:paraId="5CAF70E4" w14:textId="01609F32" w:rsidR="00A36315" w:rsidRDefault="00A36315">
      <w:pPr>
        <w:overflowPunct/>
        <w:autoSpaceDE/>
        <w:autoSpaceDN/>
        <w:adjustRightInd/>
        <w:spacing w:after="0"/>
        <w:textAlignment w:val="auto"/>
        <w:rPr>
          <w:b/>
          <w:lang w:eastAsia="zh-CN"/>
        </w:rPr>
      </w:pPr>
      <w:r>
        <w:br w:type="page"/>
      </w:r>
    </w:p>
    <w:p w14:paraId="1460E885" w14:textId="60AA1A7C" w:rsidR="007F2276" w:rsidRPr="00CE0424" w:rsidRDefault="00A36315" w:rsidP="007F2276">
      <w:pPr>
        <w:pStyle w:val="Heading1"/>
      </w:pPr>
      <w:r>
        <w:t>3</w:t>
      </w:r>
      <w:r>
        <w:tab/>
      </w:r>
      <w:r w:rsidR="007F2276" w:rsidRPr="00CE0424">
        <w:t>Conclusion</w:t>
      </w:r>
    </w:p>
    <w:p w14:paraId="4610652B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EDE36DE" w14:textId="7EF478E0" w:rsidR="00131316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143063" w:history="1">
        <w:r w:rsidR="00131316" w:rsidRPr="008272B0">
          <w:rPr>
            <w:rStyle w:val="Hyperlink"/>
            <w:noProof/>
          </w:rPr>
          <w:t>Observation 1</w:t>
        </w:r>
        <w:r w:rsidR="0013131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131316" w:rsidRPr="008272B0">
          <w:rPr>
            <w:rStyle w:val="Hyperlink"/>
            <w:noProof/>
          </w:rPr>
          <w:t>Enhancements to PUR are not with the Rel-19 IoT NTN WID’s scope.</w:t>
        </w:r>
      </w:hyperlink>
    </w:p>
    <w:p w14:paraId="1DEBAE1B" w14:textId="1563386E" w:rsidR="00131316" w:rsidRDefault="002A10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66143064" w:history="1">
        <w:r w:rsidR="00131316" w:rsidRPr="008272B0">
          <w:rPr>
            <w:rStyle w:val="Hyperlink"/>
            <w:noProof/>
          </w:rPr>
          <w:t>Observation 2</w:t>
        </w:r>
        <w:r w:rsidR="0013131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131316" w:rsidRPr="008272B0">
          <w:rPr>
            <w:rStyle w:val="Hyperlink"/>
            <w:noProof/>
          </w:rPr>
          <w:t>Enhancing PUR for NTN may require substantial changes that could contradict legacy PUR enabling conditions, thereby increasing complexity.</w:t>
        </w:r>
      </w:hyperlink>
    </w:p>
    <w:p w14:paraId="3063B187" w14:textId="7582F1E9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B9E4794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BFDBFB5" w14:textId="6912E768" w:rsidR="00131316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6143066" w:history="1">
        <w:r w:rsidR="00131316" w:rsidRPr="00691975">
          <w:rPr>
            <w:rStyle w:val="Hyperlink"/>
            <w:noProof/>
          </w:rPr>
          <w:t>Proposal 1</w:t>
        </w:r>
        <w:r w:rsidR="00131316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131316" w:rsidRPr="00691975">
          <w:rPr>
            <w:rStyle w:val="Hyperlink"/>
            <w:noProof/>
          </w:rPr>
          <w:t>RAN2 prioritizes enhancements to the EDT procedure in Rel-19.</w:t>
        </w:r>
      </w:hyperlink>
    </w:p>
    <w:p w14:paraId="3C649DB7" w14:textId="00B07A92" w:rsidR="008E065E" w:rsidRPr="00CE0424" w:rsidRDefault="006E1C82" w:rsidP="00501907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29AD60D9" w14:textId="01B3CA5F" w:rsidR="00F507D1" w:rsidRPr="00CE0424" w:rsidRDefault="00A36315" w:rsidP="00CE0424">
      <w:pPr>
        <w:pStyle w:val="Heading1"/>
      </w:pPr>
      <w:bookmarkStart w:id="11" w:name="_In-sequence_SDU_delivery"/>
      <w:bookmarkEnd w:id="11"/>
      <w:r>
        <w:t>4</w:t>
      </w:r>
      <w:r>
        <w:tab/>
      </w:r>
      <w:r w:rsidR="00F507D1" w:rsidRPr="00CE0424">
        <w:t>References</w:t>
      </w:r>
    </w:p>
    <w:p w14:paraId="6FECCF80" w14:textId="086E3A80" w:rsidR="003A7EF3" w:rsidRPr="00CE0424" w:rsidRDefault="00EB5B5C" w:rsidP="00CE0424">
      <w:pPr>
        <w:pStyle w:val="Reference"/>
        <w:rPr>
          <w:lang w:eastAsia="en-US"/>
        </w:rPr>
      </w:pPr>
      <w:bookmarkStart w:id="12" w:name="_Ref174151459"/>
      <w:bookmarkStart w:id="13" w:name="_Ref189809556"/>
      <w:r>
        <w:t>RP-240776 Revised WID, “Non-Terrestrial Networks (NTN) for Internet of Things”, MediaTek Inc., RAN#103, March, 2024</w:t>
      </w:r>
      <w:bookmarkEnd w:id="12"/>
      <w:bookmarkEnd w:id="13"/>
    </w:p>
    <w:sectPr w:rsidR="003A7EF3" w:rsidRPr="00CE0424" w:rsidSect="00C473A5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A39D4" w14:textId="77777777" w:rsidR="006E517D" w:rsidRDefault="006E517D">
      <w:r>
        <w:separator/>
      </w:r>
    </w:p>
  </w:endnote>
  <w:endnote w:type="continuationSeparator" w:id="0">
    <w:p w14:paraId="5D28EB65" w14:textId="77777777" w:rsidR="006E517D" w:rsidRDefault="006E517D">
      <w:r>
        <w:continuationSeparator/>
      </w:r>
    </w:p>
  </w:endnote>
  <w:endnote w:type="continuationNotice" w:id="1">
    <w:p w14:paraId="4B11250D" w14:textId="77777777" w:rsidR="006E517D" w:rsidRDefault="006E5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599D5" w14:textId="77777777" w:rsidR="006E517D" w:rsidRDefault="006E517D">
      <w:r>
        <w:separator/>
      </w:r>
    </w:p>
  </w:footnote>
  <w:footnote w:type="continuationSeparator" w:id="0">
    <w:p w14:paraId="10C3963A" w14:textId="77777777" w:rsidR="006E517D" w:rsidRDefault="006E517D">
      <w:r>
        <w:continuationSeparator/>
      </w:r>
    </w:p>
  </w:footnote>
  <w:footnote w:type="continuationNotice" w:id="1">
    <w:p w14:paraId="1BAE5CC3" w14:textId="77777777" w:rsidR="006E517D" w:rsidRDefault="006E51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85F23"/>
    <w:multiLevelType w:val="hybridMultilevel"/>
    <w:tmpl w:val="FA680DE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EE7B73"/>
    <w:multiLevelType w:val="hybridMultilevel"/>
    <w:tmpl w:val="6C1262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5"/>
  </w:num>
  <w:num w:numId="3" w16cid:durableId="149030463">
    <w:abstractNumId w:val="11"/>
  </w:num>
  <w:num w:numId="4" w16cid:durableId="1793861358">
    <w:abstractNumId w:val="12"/>
  </w:num>
  <w:num w:numId="5" w16cid:durableId="1243223580">
    <w:abstractNumId w:val="8"/>
  </w:num>
  <w:num w:numId="6" w16cid:durableId="228659845">
    <w:abstractNumId w:val="14"/>
  </w:num>
  <w:num w:numId="7" w16cid:durableId="758915933">
    <w:abstractNumId w:val="19"/>
  </w:num>
  <w:num w:numId="8" w16cid:durableId="779645832">
    <w:abstractNumId w:val="9"/>
  </w:num>
  <w:num w:numId="9" w16cid:durableId="237790278">
    <w:abstractNumId w:val="7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6"/>
  </w:num>
  <w:num w:numId="14" w16cid:durableId="1237780611">
    <w:abstractNumId w:val="17"/>
  </w:num>
  <w:num w:numId="15" w16cid:durableId="1303653466">
    <w:abstractNumId w:val="13"/>
  </w:num>
  <w:num w:numId="16" w16cid:durableId="1461000268">
    <w:abstractNumId w:val="21"/>
  </w:num>
  <w:num w:numId="17" w16cid:durableId="2068138227">
    <w:abstractNumId w:val="5"/>
  </w:num>
  <w:num w:numId="18" w16cid:durableId="458114767">
    <w:abstractNumId w:val="6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0"/>
  </w:num>
  <w:num w:numId="22" w16cid:durableId="1374117700">
    <w:abstractNumId w:val="22"/>
  </w:num>
  <w:num w:numId="23" w16cid:durableId="469321726">
    <w:abstractNumId w:val="16"/>
  </w:num>
  <w:num w:numId="24" w16cid:durableId="514805841">
    <w:abstractNumId w:val="18"/>
  </w:num>
  <w:num w:numId="25" w16cid:durableId="392776815">
    <w:abstractNumId w:val="18"/>
  </w:num>
  <w:num w:numId="26" w16cid:durableId="147301534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1B7A"/>
    <w:rsid w:val="00002A37"/>
    <w:rsid w:val="00005632"/>
    <w:rsid w:val="0000564C"/>
    <w:rsid w:val="00006446"/>
    <w:rsid w:val="00006896"/>
    <w:rsid w:val="00007CDC"/>
    <w:rsid w:val="00011B28"/>
    <w:rsid w:val="00011F94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163"/>
    <w:rsid w:val="000855EB"/>
    <w:rsid w:val="00085B52"/>
    <w:rsid w:val="000866F2"/>
    <w:rsid w:val="00086C6D"/>
    <w:rsid w:val="00087D39"/>
    <w:rsid w:val="0009009F"/>
    <w:rsid w:val="0009126F"/>
    <w:rsid w:val="00091557"/>
    <w:rsid w:val="000924C1"/>
    <w:rsid w:val="000924F0"/>
    <w:rsid w:val="00093474"/>
    <w:rsid w:val="00093729"/>
    <w:rsid w:val="0009510F"/>
    <w:rsid w:val="000A1B7B"/>
    <w:rsid w:val="000A56F2"/>
    <w:rsid w:val="000A6029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CA8"/>
    <w:rsid w:val="000E0527"/>
    <w:rsid w:val="000E1E92"/>
    <w:rsid w:val="000E33E5"/>
    <w:rsid w:val="000E447F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3E69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1316"/>
    <w:rsid w:val="00132FD0"/>
    <w:rsid w:val="001344C0"/>
    <w:rsid w:val="001346FA"/>
    <w:rsid w:val="00135252"/>
    <w:rsid w:val="001352D2"/>
    <w:rsid w:val="00137AB5"/>
    <w:rsid w:val="00137F0B"/>
    <w:rsid w:val="001437F4"/>
    <w:rsid w:val="00145BAC"/>
    <w:rsid w:val="00151E23"/>
    <w:rsid w:val="001526E0"/>
    <w:rsid w:val="001551B5"/>
    <w:rsid w:val="0016230A"/>
    <w:rsid w:val="0016254D"/>
    <w:rsid w:val="00162DD0"/>
    <w:rsid w:val="001659C1"/>
    <w:rsid w:val="00173A8E"/>
    <w:rsid w:val="0017502C"/>
    <w:rsid w:val="0018143F"/>
    <w:rsid w:val="00181FF8"/>
    <w:rsid w:val="001842E5"/>
    <w:rsid w:val="0018657B"/>
    <w:rsid w:val="00190AC1"/>
    <w:rsid w:val="0019341A"/>
    <w:rsid w:val="00197DF9"/>
    <w:rsid w:val="001A1987"/>
    <w:rsid w:val="001A2564"/>
    <w:rsid w:val="001A3982"/>
    <w:rsid w:val="001A6173"/>
    <w:rsid w:val="001A6CBA"/>
    <w:rsid w:val="001B0D97"/>
    <w:rsid w:val="001B5A5D"/>
    <w:rsid w:val="001B65F3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2E2"/>
    <w:rsid w:val="00220600"/>
    <w:rsid w:val="002224DB"/>
    <w:rsid w:val="00223FCB"/>
    <w:rsid w:val="002252C3"/>
    <w:rsid w:val="00225C54"/>
    <w:rsid w:val="0023061E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57EA"/>
    <w:rsid w:val="002572B8"/>
    <w:rsid w:val="00257543"/>
    <w:rsid w:val="002617E7"/>
    <w:rsid w:val="0026378D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029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7EAE"/>
    <w:rsid w:val="00301CE6"/>
    <w:rsid w:val="0030256B"/>
    <w:rsid w:val="0030501F"/>
    <w:rsid w:val="00307BA1"/>
    <w:rsid w:val="00311702"/>
    <w:rsid w:val="00311E82"/>
    <w:rsid w:val="00313AD8"/>
    <w:rsid w:val="00313FD6"/>
    <w:rsid w:val="003143BD"/>
    <w:rsid w:val="00315363"/>
    <w:rsid w:val="003203ED"/>
    <w:rsid w:val="00322C9F"/>
    <w:rsid w:val="0032437E"/>
    <w:rsid w:val="00324D23"/>
    <w:rsid w:val="00331751"/>
    <w:rsid w:val="00332934"/>
    <w:rsid w:val="00334579"/>
    <w:rsid w:val="00335858"/>
    <w:rsid w:val="00336BDA"/>
    <w:rsid w:val="00342BD7"/>
    <w:rsid w:val="003454B7"/>
    <w:rsid w:val="00346DB5"/>
    <w:rsid w:val="003477B1"/>
    <w:rsid w:val="00352FDF"/>
    <w:rsid w:val="00357380"/>
    <w:rsid w:val="003602D9"/>
    <w:rsid w:val="003604CE"/>
    <w:rsid w:val="00364562"/>
    <w:rsid w:val="00370E47"/>
    <w:rsid w:val="003742AC"/>
    <w:rsid w:val="00377CE1"/>
    <w:rsid w:val="00385BF0"/>
    <w:rsid w:val="003939FF"/>
    <w:rsid w:val="003952E6"/>
    <w:rsid w:val="003A2223"/>
    <w:rsid w:val="003A2842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482"/>
    <w:rsid w:val="003B7B8E"/>
    <w:rsid w:val="003B7FE5"/>
    <w:rsid w:val="003C11C8"/>
    <w:rsid w:val="003C2702"/>
    <w:rsid w:val="003C35A2"/>
    <w:rsid w:val="003C7806"/>
    <w:rsid w:val="003D109F"/>
    <w:rsid w:val="003D2478"/>
    <w:rsid w:val="003D3C45"/>
    <w:rsid w:val="003D5B1F"/>
    <w:rsid w:val="003E15FA"/>
    <w:rsid w:val="003E55E4"/>
    <w:rsid w:val="003E7060"/>
    <w:rsid w:val="003E74E3"/>
    <w:rsid w:val="003F05C7"/>
    <w:rsid w:val="003F2B04"/>
    <w:rsid w:val="003F2CD4"/>
    <w:rsid w:val="003F6BBE"/>
    <w:rsid w:val="004000E8"/>
    <w:rsid w:val="00402E2B"/>
    <w:rsid w:val="00403751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BC3"/>
    <w:rsid w:val="00421105"/>
    <w:rsid w:val="00422AA4"/>
    <w:rsid w:val="00422B6B"/>
    <w:rsid w:val="004242F4"/>
    <w:rsid w:val="00427248"/>
    <w:rsid w:val="00437447"/>
    <w:rsid w:val="00441A92"/>
    <w:rsid w:val="004431DC"/>
    <w:rsid w:val="00444007"/>
    <w:rsid w:val="00444F56"/>
    <w:rsid w:val="00446488"/>
    <w:rsid w:val="0044656F"/>
    <w:rsid w:val="004517AA"/>
    <w:rsid w:val="00452CAC"/>
    <w:rsid w:val="00457565"/>
    <w:rsid w:val="00457B71"/>
    <w:rsid w:val="00460AA7"/>
    <w:rsid w:val="00461290"/>
    <w:rsid w:val="004669E2"/>
    <w:rsid w:val="00470C31"/>
    <w:rsid w:val="00471DE0"/>
    <w:rsid w:val="004734D0"/>
    <w:rsid w:val="0047556B"/>
    <w:rsid w:val="00477768"/>
    <w:rsid w:val="00485397"/>
    <w:rsid w:val="00492BC5"/>
    <w:rsid w:val="004964F1"/>
    <w:rsid w:val="004A16BC"/>
    <w:rsid w:val="004A2B94"/>
    <w:rsid w:val="004A6E06"/>
    <w:rsid w:val="004B0A84"/>
    <w:rsid w:val="004B6F6A"/>
    <w:rsid w:val="004B7C0C"/>
    <w:rsid w:val="004C36D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191"/>
    <w:rsid w:val="004F4DA3"/>
    <w:rsid w:val="004F7E27"/>
    <w:rsid w:val="00501907"/>
    <w:rsid w:val="00506557"/>
    <w:rsid w:val="0050677A"/>
    <w:rsid w:val="005108D8"/>
    <w:rsid w:val="005109EB"/>
    <w:rsid w:val="005116F9"/>
    <w:rsid w:val="005153A7"/>
    <w:rsid w:val="005219CF"/>
    <w:rsid w:val="0053420A"/>
    <w:rsid w:val="00534B59"/>
    <w:rsid w:val="00536759"/>
    <w:rsid w:val="00537C62"/>
    <w:rsid w:val="00546970"/>
    <w:rsid w:val="00553DD0"/>
    <w:rsid w:val="00554E19"/>
    <w:rsid w:val="0056121F"/>
    <w:rsid w:val="005724AF"/>
    <w:rsid w:val="00572505"/>
    <w:rsid w:val="00573498"/>
    <w:rsid w:val="00576F58"/>
    <w:rsid w:val="00582809"/>
    <w:rsid w:val="0058478C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4AE5"/>
    <w:rsid w:val="005E345A"/>
    <w:rsid w:val="005E385F"/>
    <w:rsid w:val="005E5B81"/>
    <w:rsid w:val="005F2B56"/>
    <w:rsid w:val="005F2CB1"/>
    <w:rsid w:val="005F3025"/>
    <w:rsid w:val="005F3043"/>
    <w:rsid w:val="005F618C"/>
    <w:rsid w:val="005F70BD"/>
    <w:rsid w:val="0060283C"/>
    <w:rsid w:val="00604F14"/>
    <w:rsid w:val="00611B83"/>
    <w:rsid w:val="00613257"/>
    <w:rsid w:val="00614C83"/>
    <w:rsid w:val="00620A71"/>
    <w:rsid w:val="00620D80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A11"/>
    <w:rsid w:val="00650AB9"/>
    <w:rsid w:val="0065385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646"/>
    <w:rsid w:val="00695FC2"/>
    <w:rsid w:val="00696949"/>
    <w:rsid w:val="00697052"/>
    <w:rsid w:val="006A46FB"/>
    <w:rsid w:val="006A5E28"/>
    <w:rsid w:val="006A697B"/>
    <w:rsid w:val="006A7AFF"/>
    <w:rsid w:val="006A7FD4"/>
    <w:rsid w:val="006B1816"/>
    <w:rsid w:val="006B2099"/>
    <w:rsid w:val="006B50CF"/>
    <w:rsid w:val="006C03B8"/>
    <w:rsid w:val="006C259C"/>
    <w:rsid w:val="006C2F44"/>
    <w:rsid w:val="006C5EC9"/>
    <w:rsid w:val="006C5FEC"/>
    <w:rsid w:val="006C6059"/>
    <w:rsid w:val="006C7522"/>
    <w:rsid w:val="006C7E15"/>
    <w:rsid w:val="006D6F08"/>
    <w:rsid w:val="006E062C"/>
    <w:rsid w:val="006E0702"/>
    <w:rsid w:val="006E1C82"/>
    <w:rsid w:val="006E21E8"/>
    <w:rsid w:val="006E28B7"/>
    <w:rsid w:val="006E2A9B"/>
    <w:rsid w:val="006E3310"/>
    <w:rsid w:val="006E4E39"/>
    <w:rsid w:val="006E517D"/>
    <w:rsid w:val="006E565E"/>
    <w:rsid w:val="006E673D"/>
    <w:rsid w:val="006E7D3B"/>
    <w:rsid w:val="006F1B70"/>
    <w:rsid w:val="006F341D"/>
    <w:rsid w:val="006F3CDE"/>
    <w:rsid w:val="006F58D4"/>
    <w:rsid w:val="006F6582"/>
    <w:rsid w:val="007006B3"/>
    <w:rsid w:val="0070346E"/>
    <w:rsid w:val="0070362C"/>
    <w:rsid w:val="00704EDB"/>
    <w:rsid w:val="00706101"/>
    <w:rsid w:val="00707072"/>
    <w:rsid w:val="00707D61"/>
    <w:rsid w:val="00712287"/>
    <w:rsid w:val="00712772"/>
    <w:rsid w:val="00713E7E"/>
    <w:rsid w:val="007148D3"/>
    <w:rsid w:val="00715B9A"/>
    <w:rsid w:val="00715CF8"/>
    <w:rsid w:val="007234CC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3BA5"/>
    <w:rsid w:val="00785490"/>
    <w:rsid w:val="007925EA"/>
    <w:rsid w:val="00793CD8"/>
    <w:rsid w:val="00795C92"/>
    <w:rsid w:val="00796231"/>
    <w:rsid w:val="007A1CB3"/>
    <w:rsid w:val="007A306F"/>
    <w:rsid w:val="007A43A6"/>
    <w:rsid w:val="007A51B2"/>
    <w:rsid w:val="007A58A6"/>
    <w:rsid w:val="007A6349"/>
    <w:rsid w:val="007B3D2D"/>
    <w:rsid w:val="007B50AE"/>
    <w:rsid w:val="007B51DF"/>
    <w:rsid w:val="007C05DD"/>
    <w:rsid w:val="007C3D18"/>
    <w:rsid w:val="007C5576"/>
    <w:rsid w:val="007C60BF"/>
    <w:rsid w:val="007C6A07"/>
    <w:rsid w:val="007C75A1"/>
    <w:rsid w:val="007C77A5"/>
    <w:rsid w:val="007D04E5"/>
    <w:rsid w:val="007D5901"/>
    <w:rsid w:val="007D71CF"/>
    <w:rsid w:val="007D7526"/>
    <w:rsid w:val="007E42C5"/>
    <w:rsid w:val="007E4610"/>
    <w:rsid w:val="007E4715"/>
    <w:rsid w:val="007E505B"/>
    <w:rsid w:val="007E7091"/>
    <w:rsid w:val="007F2276"/>
    <w:rsid w:val="007F2855"/>
    <w:rsid w:val="007F7D61"/>
    <w:rsid w:val="00803FAE"/>
    <w:rsid w:val="00805461"/>
    <w:rsid w:val="0080605F"/>
    <w:rsid w:val="00807786"/>
    <w:rsid w:val="00807F9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67AC"/>
    <w:rsid w:val="008677FD"/>
    <w:rsid w:val="00867A3E"/>
    <w:rsid w:val="008706D4"/>
    <w:rsid w:val="00870F8A"/>
    <w:rsid w:val="008715AB"/>
    <w:rsid w:val="008719A4"/>
    <w:rsid w:val="00871D23"/>
    <w:rsid w:val="00874312"/>
    <w:rsid w:val="0087437C"/>
    <w:rsid w:val="008754B6"/>
    <w:rsid w:val="00875CD7"/>
    <w:rsid w:val="00876B4D"/>
    <w:rsid w:val="00877F18"/>
    <w:rsid w:val="00881172"/>
    <w:rsid w:val="00881E97"/>
    <w:rsid w:val="00885497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043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06"/>
    <w:rsid w:val="008D6D1A"/>
    <w:rsid w:val="008E065E"/>
    <w:rsid w:val="008E0927"/>
    <w:rsid w:val="008E1909"/>
    <w:rsid w:val="008F1EAB"/>
    <w:rsid w:val="008F33DC"/>
    <w:rsid w:val="008F477F"/>
    <w:rsid w:val="008F7ADA"/>
    <w:rsid w:val="00902350"/>
    <w:rsid w:val="0090336B"/>
    <w:rsid w:val="009053AA"/>
    <w:rsid w:val="00906939"/>
    <w:rsid w:val="00910B7D"/>
    <w:rsid w:val="00911DFB"/>
    <w:rsid w:val="009139D9"/>
    <w:rsid w:val="00914AD8"/>
    <w:rsid w:val="00915602"/>
    <w:rsid w:val="00916079"/>
    <w:rsid w:val="00917CE9"/>
    <w:rsid w:val="00920BF2"/>
    <w:rsid w:val="00922010"/>
    <w:rsid w:val="00925B14"/>
    <w:rsid w:val="0093009B"/>
    <w:rsid w:val="00931BD9"/>
    <w:rsid w:val="00933CA2"/>
    <w:rsid w:val="009358D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5D59"/>
    <w:rsid w:val="0095681E"/>
    <w:rsid w:val="009572D4"/>
    <w:rsid w:val="00961921"/>
    <w:rsid w:val="0096430A"/>
    <w:rsid w:val="0096554B"/>
    <w:rsid w:val="0096584A"/>
    <w:rsid w:val="0096675E"/>
    <w:rsid w:val="00971F08"/>
    <w:rsid w:val="0097603D"/>
    <w:rsid w:val="00976949"/>
    <w:rsid w:val="00980477"/>
    <w:rsid w:val="009842C2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BF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54A"/>
    <w:rsid w:val="009F7773"/>
    <w:rsid w:val="00A031D8"/>
    <w:rsid w:val="00A048A8"/>
    <w:rsid w:val="00A04F49"/>
    <w:rsid w:val="00A13E54"/>
    <w:rsid w:val="00A17F63"/>
    <w:rsid w:val="00A2193B"/>
    <w:rsid w:val="00A21ECE"/>
    <w:rsid w:val="00A2351A"/>
    <w:rsid w:val="00A264A9"/>
    <w:rsid w:val="00A26DCF"/>
    <w:rsid w:val="00A27785"/>
    <w:rsid w:val="00A30187"/>
    <w:rsid w:val="00A3448A"/>
    <w:rsid w:val="00A35856"/>
    <w:rsid w:val="00A36297"/>
    <w:rsid w:val="00A36315"/>
    <w:rsid w:val="00A4086C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44CA"/>
    <w:rsid w:val="00AA016F"/>
    <w:rsid w:val="00AA1ED6"/>
    <w:rsid w:val="00AA236E"/>
    <w:rsid w:val="00AA51D6"/>
    <w:rsid w:val="00AB0BC8"/>
    <w:rsid w:val="00AB11CA"/>
    <w:rsid w:val="00AB14D9"/>
    <w:rsid w:val="00AB4AB8"/>
    <w:rsid w:val="00AB655E"/>
    <w:rsid w:val="00AB6A66"/>
    <w:rsid w:val="00AC007F"/>
    <w:rsid w:val="00AC2ECD"/>
    <w:rsid w:val="00AC3119"/>
    <w:rsid w:val="00AC49FB"/>
    <w:rsid w:val="00AC5A10"/>
    <w:rsid w:val="00AD0AA3"/>
    <w:rsid w:val="00AD1CB8"/>
    <w:rsid w:val="00AD3F94"/>
    <w:rsid w:val="00AD4A5A"/>
    <w:rsid w:val="00AD7C75"/>
    <w:rsid w:val="00AE27AC"/>
    <w:rsid w:val="00AE40E0"/>
    <w:rsid w:val="00AE4DBA"/>
    <w:rsid w:val="00AE4F07"/>
    <w:rsid w:val="00AF15E5"/>
    <w:rsid w:val="00AF1C5D"/>
    <w:rsid w:val="00AF42D7"/>
    <w:rsid w:val="00AF4726"/>
    <w:rsid w:val="00B006FE"/>
    <w:rsid w:val="00B007CB"/>
    <w:rsid w:val="00B02AA9"/>
    <w:rsid w:val="00B02FA3"/>
    <w:rsid w:val="00B05084"/>
    <w:rsid w:val="00B157F9"/>
    <w:rsid w:val="00B15944"/>
    <w:rsid w:val="00B17538"/>
    <w:rsid w:val="00B20256"/>
    <w:rsid w:val="00B20D09"/>
    <w:rsid w:val="00B223D9"/>
    <w:rsid w:val="00B25879"/>
    <w:rsid w:val="00B2763F"/>
    <w:rsid w:val="00B27AAC"/>
    <w:rsid w:val="00B3075F"/>
    <w:rsid w:val="00B30929"/>
    <w:rsid w:val="00B372AA"/>
    <w:rsid w:val="00B40445"/>
    <w:rsid w:val="00B409E0"/>
    <w:rsid w:val="00B41888"/>
    <w:rsid w:val="00B45A52"/>
    <w:rsid w:val="00B46175"/>
    <w:rsid w:val="00B548B7"/>
    <w:rsid w:val="00B659B5"/>
    <w:rsid w:val="00B664C7"/>
    <w:rsid w:val="00B739F6"/>
    <w:rsid w:val="00B74DE0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0F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BC4"/>
    <w:rsid w:val="00C10478"/>
    <w:rsid w:val="00C12107"/>
    <w:rsid w:val="00C14D4B"/>
    <w:rsid w:val="00C154BB"/>
    <w:rsid w:val="00C228D8"/>
    <w:rsid w:val="00C26F9B"/>
    <w:rsid w:val="00C279B5"/>
    <w:rsid w:val="00C27C45"/>
    <w:rsid w:val="00C31372"/>
    <w:rsid w:val="00C3719D"/>
    <w:rsid w:val="00C37CB2"/>
    <w:rsid w:val="00C42C0C"/>
    <w:rsid w:val="00C4715F"/>
    <w:rsid w:val="00C473A5"/>
    <w:rsid w:val="00C54995"/>
    <w:rsid w:val="00C54D41"/>
    <w:rsid w:val="00C60783"/>
    <w:rsid w:val="00C64672"/>
    <w:rsid w:val="00C70697"/>
    <w:rsid w:val="00C72093"/>
    <w:rsid w:val="00C72EF4"/>
    <w:rsid w:val="00C731AF"/>
    <w:rsid w:val="00C744FE"/>
    <w:rsid w:val="00C75D2F"/>
    <w:rsid w:val="00C767BE"/>
    <w:rsid w:val="00C76E3C"/>
    <w:rsid w:val="00C81568"/>
    <w:rsid w:val="00C8567A"/>
    <w:rsid w:val="00C859FF"/>
    <w:rsid w:val="00C9027A"/>
    <w:rsid w:val="00C9068E"/>
    <w:rsid w:val="00C93814"/>
    <w:rsid w:val="00C93C4B"/>
    <w:rsid w:val="00C944AB"/>
    <w:rsid w:val="00C95B40"/>
    <w:rsid w:val="00CA1ED8"/>
    <w:rsid w:val="00CA5EF8"/>
    <w:rsid w:val="00CB1F63"/>
    <w:rsid w:val="00CB7170"/>
    <w:rsid w:val="00CC040E"/>
    <w:rsid w:val="00CC0AD1"/>
    <w:rsid w:val="00CC111F"/>
    <w:rsid w:val="00CC2011"/>
    <w:rsid w:val="00CC3EA0"/>
    <w:rsid w:val="00CC7B45"/>
    <w:rsid w:val="00CD1188"/>
    <w:rsid w:val="00CD2ED1"/>
    <w:rsid w:val="00CD337B"/>
    <w:rsid w:val="00CE0424"/>
    <w:rsid w:val="00CE6FEB"/>
    <w:rsid w:val="00CE7561"/>
    <w:rsid w:val="00CF1354"/>
    <w:rsid w:val="00CF3024"/>
    <w:rsid w:val="00CF3B1F"/>
    <w:rsid w:val="00CF3BF6"/>
    <w:rsid w:val="00CF4DF5"/>
    <w:rsid w:val="00CF625B"/>
    <w:rsid w:val="00CF687E"/>
    <w:rsid w:val="00D0349B"/>
    <w:rsid w:val="00D10249"/>
    <w:rsid w:val="00D115C3"/>
    <w:rsid w:val="00D11897"/>
    <w:rsid w:val="00D13135"/>
    <w:rsid w:val="00D13E4E"/>
    <w:rsid w:val="00D235E1"/>
    <w:rsid w:val="00D239A7"/>
    <w:rsid w:val="00D23F47"/>
    <w:rsid w:val="00D33D66"/>
    <w:rsid w:val="00D36E71"/>
    <w:rsid w:val="00D37D87"/>
    <w:rsid w:val="00D40B33"/>
    <w:rsid w:val="00D4318F"/>
    <w:rsid w:val="00D438BF"/>
    <w:rsid w:val="00D440F8"/>
    <w:rsid w:val="00D478B8"/>
    <w:rsid w:val="00D50EE0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5E3A"/>
    <w:rsid w:val="00D86CA3"/>
    <w:rsid w:val="00D871CE"/>
    <w:rsid w:val="00D902C7"/>
    <w:rsid w:val="00D90C21"/>
    <w:rsid w:val="00D9196D"/>
    <w:rsid w:val="00D92982"/>
    <w:rsid w:val="00D93314"/>
    <w:rsid w:val="00DA305E"/>
    <w:rsid w:val="00DA5417"/>
    <w:rsid w:val="00DA56E8"/>
    <w:rsid w:val="00DB0796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5E65"/>
    <w:rsid w:val="00E110E7"/>
    <w:rsid w:val="00E11B20"/>
    <w:rsid w:val="00E17FA2"/>
    <w:rsid w:val="00E2202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47D98"/>
    <w:rsid w:val="00E53870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084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5B5C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453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6280"/>
    <w:rsid w:val="00F30828"/>
    <w:rsid w:val="00F313D6"/>
    <w:rsid w:val="00F33DE9"/>
    <w:rsid w:val="00F40F0C"/>
    <w:rsid w:val="00F4766C"/>
    <w:rsid w:val="00F5060E"/>
    <w:rsid w:val="00F507D1"/>
    <w:rsid w:val="00F50AA0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752"/>
    <w:rsid w:val="00F9056A"/>
    <w:rsid w:val="00F90F8D"/>
    <w:rsid w:val="00F92782"/>
    <w:rsid w:val="00F93AA9"/>
    <w:rsid w:val="00F943B1"/>
    <w:rsid w:val="00F96009"/>
    <w:rsid w:val="00F96985"/>
    <w:rsid w:val="00F97838"/>
    <w:rsid w:val="00FA2BB3"/>
    <w:rsid w:val="00FB2E3D"/>
    <w:rsid w:val="00FB4C80"/>
    <w:rsid w:val="00FB6A6A"/>
    <w:rsid w:val="00FC443B"/>
    <w:rsid w:val="00FC7429"/>
    <w:rsid w:val="00FD07F6"/>
    <w:rsid w:val="00FD1EC8"/>
    <w:rsid w:val="00FD47ED"/>
    <w:rsid w:val="00FD72A5"/>
    <w:rsid w:val="00FD74DB"/>
    <w:rsid w:val="00FD7660"/>
    <w:rsid w:val="00FE0655"/>
    <w:rsid w:val="00FE2365"/>
    <w:rsid w:val="00FE37D7"/>
    <w:rsid w:val="00FE4C7B"/>
    <w:rsid w:val="00FE7336"/>
    <w:rsid w:val="00FE748C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0084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363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9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89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28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1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0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9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75665A-8D3B-4EDF-92FC-AC5B4208D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Template.dotx</Template>
  <TotalTime>119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6147</CharactersWithSpaces>
  <SharedDoc>false</SharedDoc>
  <HLinks>
    <vt:vector size="24" baseType="variant">
      <vt:variant>
        <vt:i4>1245238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_Toc166076641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_Toc166076637</vt:lpwstr>
      </vt:variant>
      <vt:variant>
        <vt:i4>3080304</vt:i4>
      </vt:variant>
      <vt:variant>
        <vt:i4>24</vt:i4>
      </vt:variant>
      <vt:variant>
        <vt:i4>0</vt:i4>
      </vt:variant>
      <vt:variant>
        <vt:i4>5</vt:i4>
      </vt:variant>
      <vt:variant>
        <vt:lpwstr>http://mannerheim.nomadiclab.com/Mannerheim/tdoc/RP-232861</vt:lpwstr>
      </vt:variant>
      <vt:variant>
        <vt:lpwstr/>
      </vt:variant>
      <vt:variant>
        <vt:i4>5701691</vt:i4>
      </vt:variant>
      <vt:variant>
        <vt:i4>21</vt:i4>
      </vt:variant>
      <vt:variant>
        <vt:i4>0</vt:i4>
      </vt:variant>
      <vt:variant>
        <vt:i4>5</vt:i4>
      </vt:variant>
      <vt:variant>
        <vt:lpwstr>http://mannerheim.nomadiclab.com/Mannerheim/tdoclist/RAN_102/10.1.2.1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RAN2#126</cp:lastModifiedBy>
  <cp:revision>101</cp:revision>
  <cp:lastPrinted>2008-01-31T07:09:00Z</cp:lastPrinted>
  <dcterms:created xsi:type="dcterms:W3CDTF">2023-08-31T07:30:00Z</dcterms:created>
  <dcterms:modified xsi:type="dcterms:W3CDTF">2024-05-09T09:03:00Z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